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80" w:rsidRDefault="00C92280" w:rsidP="00C92280">
      <w:pPr>
        <w:widowControl w:val="0"/>
        <w:autoSpaceDE w:val="0"/>
        <w:autoSpaceDN w:val="0"/>
        <w:adjustRightInd w:val="0"/>
        <w:jc w:val="center"/>
        <w:rPr>
          <w:b/>
        </w:rPr>
      </w:pPr>
      <w:r>
        <w:rPr>
          <w:b/>
        </w:rPr>
        <w:t>АДМИНИСТРАЦИЯ СЕЛЬСКОГО ПОСЕЛЕНИЯ НОВОКИЕШКИНСКИЙ СЕЛЬСОВЕТ МУНИЦИПАЛЬНОГО РАЙОНА КАРМАСКАЛИНСКИЙ РАЙОН РЕСПУБЛИКИ БАШКОРТОСТАН</w:t>
      </w:r>
    </w:p>
    <w:p w:rsidR="005B6DB2" w:rsidRDefault="005B6DB2" w:rsidP="00C92280">
      <w:pPr>
        <w:widowControl w:val="0"/>
        <w:autoSpaceDE w:val="0"/>
        <w:autoSpaceDN w:val="0"/>
        <w:adjustRightInd w:val="0"/>
        <w:spacing w:after="0" w:line="240" w:lineRule="auto"/>
        <w:rPr>
          <w:b/>
        </w:rPr>
      </w:pPr>
      <w:bookmarkStart w:id="0" w:name="_GoBack"/>
      <w:bookmarkEnd w:id="0"/>
    </w:p>
    <w:p w:rsidR="005B6DB2" w:rsidRDefault="00B658C3" w:rsidP="007556AF">
      <w:pPr>
        <w:widowControl w:val="0"/>
        <w:autoSpaceDE w:val="0"/>
        <w:autoSpaceDN w:val="0"/>
        <w:adjustRightInd w:val="0"/>
        <w:spacing w:after="0" w:line="240" w:lineRule="auto"/>
        <w:jc w:val="center"/>
        <w:rPr>
          <w:b/>
        </w:rPr>
      </w:pPr>
      <w:r>
        <w:rPr>
          <w:b/>
        </w:rPr>
        <w:t>Постановление № 36 от 14.07.2021 года</w:t>
      </w:r>
    </w:p>
    <w:p w:rsidR="00B20C2F" w:rsidRDefault="00B20C2F" w:rsidP="007556AF">
      <w:pPr>
        <w:widowControl w:val="0"/>
        <w:autoSpaceDE w:val="0"/>
        <w:autoSpaceDN w:val="0"/>
        <w:adjustRightInd w:val="0"/>
        <w:spacing w:after="0" w:line="240" w:lineRule="auto"/>
        <w:jc w:val="center"/>
        <w:rPr>
          <w:b/>
        </w:rPr>
      </w:pPr>
    </w:p>
    <w:p w:rsidR="00B20C2F" w:rsidRPr="005219EC" w:rsidRDefault="00B20C2F"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B20C2F" w:rsidRDefault="00E83553" w:rsidP="00B20C2F">
      <w:pPr>
        <w:widowControl w:val="0"/>
        <w:autoSpaceDE w:val="0"/>
        <w:autoSpaceDN w:val="0"/>
        <w:adjustRightInd w:val="0"/>
        <w:spacing w:after="0" w:line="240" w:lineRule="auto"/>
        <w:jc w:val="center"/>
        <w:rPr>
          <w:b/>
          <w:bCs/>
        </w:rPr>
      </w:pPr>
      <w:r w:rsidRPr="005219EC">
        <w:rPr>
          <w:b/>
          <w:bCs/>
        </w:rPr>
        <w:t xml:space="preserve">в </w:t>
      </w:r>
      <w:r w:rsidR="00B20C2F">
        <w:rPr>
          <w:b/>
          <w:bCs/>
        </w:rPr>
        <w:t xml:space="preserve">Администрации сельского поселения Новокиешкинский сельсовет муниципального района Кармаскалинский район </w:t>
      </w:r>
    </w:p>
    <w:p w:rsidR="00E83553" w:rsidRPr="005219EC" w:rsidRDefault="00B20C2F" w:rsidP="00B20C2F">
      <w:pPr>
        <w:widowControl w:val="0"/>
        <w:autoSpaceDE w:val="0"/>
        <w:autoSpaceDN w:val="0"/>
        <w:adjustRightInd w:val="0"/>
        <w:spacing w:after="0" w:line="240" w:lineRule="auto"/>
        <w:jc w:val="center"/>
        <w:rPr>
          <w:b/>
          <w:bCs/>
          <w:sz w:val="20"/>
          <w:szCs w:val="20"/>
        </w:rPr>
      </w:pPr>
      <w:r>
        <w:rPr>
          <w:b/>
          <w:bCs/>
        </w:rPr>
        <w:t xml:space="preserve">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Pr="005219EC" w:rsidRDefault="00E83553" w:rsidP="00B20C2F">
      <w:pPr>
        <w:tabs>
          <w:tab w:val="left" w:pos="2835"/>
        </w:tabs>
        <w:autoSpaceDE w:val="0"/>
        <w:autoSpaceDN w:val="0"/>
        <w:adjustRightInd w:val="0"/>
        <w:spacing w:after="0" w:line="240" w:lineRule="auto"/>
        <w:ind w:firstLine="709"/>
        <w:jc w:val="both"/>
        <w:rPr>
          <w:sz w:val="16"/>
        </w:rPr>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20C2F">
        <w:t>сельского поселения Новокиешкинский сельсовет муниципального района Кармаскалинский район Республики Башкортостан</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Default="00E83553" w:rsidP="00B20C2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B20C2F">
        <w:t xml:space="preserve"> </w:t>
      </w:r>
      <w:r w:rsidRPr="005219EC">
        <w:rPr>
          <w:bCs/>
        </w:rPr>
        <w:t xml:space="preserve">в </w:t>
      </w:r>
      <w:r w:rsidR="00B20C2F">
        <w:t>Администрации сельского поселения Новокиешкинский сельсовет муниципального района Кармаскалинский район Республики Башкортостан.</w:t>
      </w:r>
    </w:p>
    <w:p w:rsidR="00B20C2F" w:rsidRPr="00B20C2F" w:rsidRDefault="00B20C2F" w:rsidP="00B20C2F">
      <w:pPr>
        <w:widowControl w:val="0"/>
        <w:tabs>
          <w:tab w:val="left" w:pos="567"/>
        </w:tabs>
        <w:spacing w:after="0" w:line="240" w:lineRule="auto"/>
        <w:ind w:firstLine="709"/>
        <w:contextualSpacing/>
        <w:jc w:val="both"/>
      </w:pPr>
      <w:r>
        <w:t>2. Постановление №  63 от 15.05.2019 года «Присвоение и аннулирование адресов объекту адресации» считать утратившим силу.</w:t>
      </w:r>
    </w:p>
    <w:p w:rsidR="00E83553" w:rsidRPr="005219EC" w:rsidRDefault="00B20C2F" w:rsidP="00B20C2F">
      <w:pPr>
        <w:spacing w:after="0" w:line="240" w:lineRule="auto"/>
        <w:ind w:firstLine="709"/>
        <w:jc w:val="both"/>
      </w:pPr>
      <w:r>
        <w:t>3</w:t>
      </w:r>
      <w:r w:rsidR="00E83553" w:rsidRPr="005219EC">
        <w:t>. Настоящее постановление вступает в силу на следующий день, после дня его официального опубликования (обнародования)</w:t>
      </w:r>
      <w:r>
        <w:t>.</w:t>
      </w:r>
    </w:p>
    <w:p w:rsidR="00E83553" w:rsidRPr="005219EC" w:rsidRDefault="00B20C2F" w:rsidP="007556AF">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4</w:t>
      </w:r>
      <w:r w:rsidR="00E83553" w:rsidRPr="005219EC">
        <w:rPr>
          <w:rFonts w:eastAsia="Times New Roman"/>
          <w:lang w:eastAsia="ru-RU"/>
        </w:rPr>
        <w:t xml:space="preserve">. Настоящее постановление опубликовать (обнародовать) </w:t>
      </w:r>
      <w:r w:rsidR="00DA6A4D">
        <w:rPr>
          <w:rFonts w:eastAsia="Times New Roman"/>
          <w:lang w:eastAsia="ru-RU"/>
        </w:rPr>
        <w:t xml:space="preserve">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 </w:t>
      </w:r>
      <w:hyperlink r:id="rId9" w:history="1">
        <w:r w:rsidR="00DA6A4D">
          <w:rPr>
            <w:rStyle w:val="a5"/>
          </w:rPr>
          <w:t>http://novokiechki.ru/</w:t>
        </w:r>
      </w:hyperlink>
      <w:r w:rsidR="00DA6A4D">
        <w:rPr>
          <w:rStyle w:val="day7"/>
        </w:rPr>
        <w:t>.</w:t>
      </w:r>
    </w:p>
    <w:p w:rsidR="00E83553" w:rsidRPr="005219EC" w:rsidRDefault="00B20C2F" w:rsidP="007556AF">
      <w:pPr>
        <w:autoSpaceDE w:val="0"/>
        <w:autoSpaceDN w:val="0"/>
        <w:adjustRightInd w:val="0"/>
        <w:spacing w:after="0" w:line="240" w:lineRule="auto"/>
        <w:ind w:firstLine="709"/>
        <w:jc w:val="both"/>
      </w:pPr>
      <w:r>
        <w:t>5</w:t>
      </w:r>
      <w:r w:rsidR="00E83553" w:rsidRPr="005219EC">
        <w:t xml:space="preserve">. Контроль за исполнением настоящего постановления </w:t>
      </w:r>
      <w:r>
        <w:t>оставляю за собой.</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Pr="005219EC" w:rsidRDefault="00E83553" w:rsidP="007556AF">
      <w:pPr>
        <w:tabs>
          <w:tab w:val="left" w:pos="7425"/>
        </w:tabs>
        <w:spacing w:after="0" w:line="240" w:lineRule="auto"/>
        <w:ind w:firstLine="851"/>
        <w:jc w:val="right"/>
        <w:rPr>
          <w:b/>
        </w:rPr>
      </w:pPr>
    </w:p>
    <w:p w:rsidR="00E83553" w:rsidRPr="00B20C2F" w:rsidRDefault="00B20C2F" w:rsidP="00B20C2F">
      <w:pPr>
        <w:tabs>
          <w:tab w:val="left" w:pos="7425"/>
        </w:tabs>
        <w:spacing w:after="0" w:line="240" w:lineRule="auto"/>
      </w:pPr>
      <w:r w:rsidRPr="00B20C2F">
        <w:t>Глава сельского поселения</w:t>
      </w:r>
    </w:p>
    <w:p w:rsidR="00B20C2F" w:rsidRPr="00B20C2F" w:rsidRDefault="00B20C2F" w:rsidP="00B20C2F">
      <w:pPr>
        <w:tabs>
          <w:tab w:val="left" w:pos="7425"/>
        </w:tabs>
        <w:spacing w:after="0" w:line="240" w:lineRule="auto"/>
      </w:pPr>
      <w:r w:rsidRPr="00B20C2F">
        <w:t xml:space="preserve">Новокиешкинский сельсовет                                                        </w:t>
      </w:r>
      <w:r>
        <w:t xml:space="preserve">         </w:t>
      </w:r>
      <w:r w:rsidRPr="00B20C2F">
        <w:t xml:space="preserve"> Г.Н.Сагитова</w:t>
      </w:r>
    </w:p>
    <w:p w:rsidR="00E83553" w:rsidRPr="00B20C2F" w:rsidRDefault="00E83553" w:rsidP="007556AF">
      <w:pPr>
        <w:tabs>
          <w:tab w:val="left" w:pos="7425"/>
        </w:tabs>
        <w:spacing w:after="0" w:line="240" w:lineRule="auto"/>
        <w:ind w:firstLine="851"/>
        <w:jc w:val="right"/>
      </w:pPr>
    </w:p>
    <w:p w:rsidR="00E83553" w:rsidRPr="005219EC" w:rsidRDefault="00E83553" w:rsidP="007556AF">
      <w:pPr>
        <w:spacing w:after="0" w:line="240" w:lineRule="auto"/>
        <w:rPr>
          <w:b/>
        </w:rPr>
      </w:pPr>
      <w:r w:rsidRPr="00B20C2F">
        <w:br w:type="page"/>
      </w: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Default="00DA6A4D" w:rsidP="007556AF">
      <w:pPr>
        <w:widowControl w:val="0"/>
        <w:autoSpaceDE w:val="0"/>
        <w:autoSpaceDN w:val="0"/>
        <w:adjustRightInd w:val="0"/>
        <w:spacing w:after="0" w:line="240" w:lineRule="auto"/>
        <w:ind w:firstLine="851"/>
        <w:jc w:val="right"/>
        <w:rPr>
          <w:b/>
        </w:rPr>
      </w:pPr>
      <w:r>
        <w:rPr>
          <w:b/>
        </w:rPr>
        <w:t>сельского поселения</w:t>
      </w:r>
    </w:p>
    <w:p w:rsidR="00DA6A4D" w:rsidRPr="005219EC" w:rsidRDefault="00DA6A4D" w:rsidP="007556AF">
      <w:pPr>
        <w:widowControl w:val="0"/>
        <w:autoSpaceDE w:val="0"/>
        <w:autoSpaceDN w:val="0"/>
        <w:adjustRightInd w:val="0"/>
        <w:spacing w:after="0" w:line="240" w:lineRule="auto"/>
        <w:ind w:firstLine="851"/>
        <w:jc w:val="right"/>
        <w:rPr>
          <w:b/>
          <w:bCs/>
          <w:sz w:val="20"/>
        </w:rPr>
      </w:pPr>
      <w:r>
        <w:rPr>
          <w:b/>
        </w:rPr>
        <w:t>Новокиешкинский сельсовет</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 xml:space="preserve">от </w:t>
      </w:r>
      <w:r w:rsidR="00DA6A4D">
        <w:rPr>
          <w:b/>
        </w:rPr>
        <w:t>14.07.2021 года № 36</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DA6A4D" w:rsidRDefault="00DA6A4D" w:rsidP="007556AF">
      <w:pPr>
        <w:widowControl w:val="0"/>
        <w:autoSpaceDE w:val="0"/>
        <w:autoSpaceDN w:val="0"/>
        <w:adjustRightInd w:val="0"/>
        <w:spacing w:after="0" w:line="240" w:lineRule="auto"/>
        <w:ind w:firstLine="851"/>
        <w:jc w:val="center"/>
        <w:rPr>
          <w:b/>
          <w:bCs/>
        </w:rPr>
      </w:pPr>
      <w:r>
        <w:rPr>
          <w:b/>
          <w:bCs/>
        </w:rPr>
        <w:t xml:space="preserve">в администрации сельского поселения Новокиешкинский сельсовет муниципального района Кармаскалинский район </w:t>
      </w:r>
    </w:p>
    <w:p w:rsidR="00E83553" w:rsidRPr="005219EC" w:rsidRDefault="00DA6A4D" w:rsidP="007556AF">
      <w:pPr>
        <w:widowControl w:val="0"/>
        <w:autoSpaceDE w:val="0"/>
        <w:autoSpaceDN w:val="0"/>
        <w:adjustRightInd w:val="0"/>
        <w:spacing w:after="0" w:line="240" w:lineRule="auto"/>
        <w:ind w:firstLine="851"/>
        <w:jc w:val="center"/>
        <w:rPr>
          <w:b/>
          <w:bCs/>
        </w:rPr>
      </w:pPr>
      <w:r>
        <w:rPr>
          <w:b/>
          <w:bCs/>
        </w:rPr>
        <w:t>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DA6A4D">
        <w:t>Администрации сельского поселения Новокиешкинский сельсовет муниципального района Кармаскалинский район Республики Башкортостан</w:t>
      </w:r>
      <w:r w:rsidR="00B05006">
        <w:rPr>
          <w:bCs/>
          <w:sz w:val="20"/>
          <w:szCs w:val="20"/>
        </w:rPr>
        <w:t xml:space="preserve">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DA6A4D">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DA6A4D">
        <w:t>администрации сельского поселения Новокиешкинский сельсовет муниципального района Кармаскалинский район Республики Башкортостан</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DA6A4D" w:rsidRDefault="00304EC2" w:rsidP="00DA6A4D">
      <w:pPr>
        <w:pStyle w:val="a3"/>
        <w:autoSpaceDE w:val="0"/>
        <w:autoSpaceDN w:val="0"/>
        <w:adjustRightInd w:val="0"/>
        <w:spacing w:after="0" w:line="240" w:lineRule="auto"/>
        <w:ind w:left="0" w:firstLine="709"/>
        <w:jc w:val="both"/>
        <w:rPr>
          <w:sz w:val="20"/>
          <w:szCs w:val="20"/>
        </w:rPr>
      </w:pPr>
      <w:r w:rsidRPr="00133E22">
        <w:t xml:space="preserve">о месте нахождения и графике работы </w:t>
      </w:r>
      <w:r w:rsidR="00DA6A4D">
        <w:t>Администрации сельского поселения Новокиешкинский сельсовет муниципального района Кармаскалинский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DA6A4D" w:rsidRDefault="00304EC2" w:rsidP="00DA6A4D">
      <w:pPr>
        <w:pStyle w:val="a3"/>
        <w:autoSpaceDE w:val="0"/>
        <w:autoSpaceDN w:val="0"/>
        <w:adjustRightInd w:val="0"/>
        <w:spacing w:after="0" w:line="240" w:lineRule="auto"/>
        <w:ind w:left="0" w:firstLine="709"/>
        <w:jc w:val="both"/>
        <w:rPr>
          <w:rFonts w:eastAsia="Times New Roman"/>
          <w:lang w:eastAsia="ru-RU"/>
        </w:rPr>
      </w:pPr>
      <w:r w:rsidRPr="00133E22">
        <w:rPr>
          <w:color w:val="000000"/>
        </w:rPr>
        <w:t>на официальных сайтах Администрации (Уполномочен</w:t>
      </w:r>
      <w:r w:rsidR="00CB17D6">
        <w:rPr>
          <w:color w:val="000000"/>
        </w:rPr>
        <w:t xml:space="preserve">ного органа) </w:t>
      </w:r>
      <w:hyperlink r:id="rId20" w:history="1">
        <w:r w:rsidR="00DA6A4D">
          <w:rPr>
            <w:rStyle w:val="a5"/>
          </w:rPr>
          <w:t>http://novokiechki.ru/</w:t>
        </w:r>
      </w:hyperlink>
      <w:r w:rsidR="00DA6A4D">
        <w:rPr>
          <w:rStyle w:val="day7"/>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DA6A4D">
        <w:rPr>
          <w:rFonts w:eastAsia="Calibri"/>
        </w:rPr>
        <w:t>сельского поселения Новокиешкинский сельсовет муниципального района Кармаскалински</w:t>
      </w:r>
      <w:r w:rsidR="00725672">
        <w:rPr>
          <w:rFonts w:eastAsia="Calibri"/>
        </w:rPr>
        <w:t>й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DA6A4D">
        <w:t xml:space="preserve"> сельского поселения Новокиешкинский сельсовет </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DA6A4D" w:rsidRDefault="00DA6A4D" w:rsidP="007556AF">
      <w:pPr>
        <w:autoSpaceDE w:val="0"/>
        <w:autoSpaceDN w:val="0"/>
        <w:adjustRightInd w:val="0"/>
        <w:spacing w:after="0" w:line="240" w:lineRule="auto"/>
        <w:ind w:firstLine="709"/>
        <w:jc w:val="both"/>
      </w:pPr>
    </w:p>
    <w:p w:rsidR="00DA6A4D" w:rsidRDefault="00DA6A4D" w:rsidP="007556AF">
      <w:pPr>
        <w:autoSpaceDE w:val="0"/>
        <w:autoSpaceDN w:val="0"/>
        <w:adjustRightInd w:val="0"/>
        <w:spacing w:after="0" w:line="240" w:lineRule="auto"/>
        <w:ind w:firstLine="709"/>
        <w:jc w:val="both"/>
      </w:pPr>
    </w:p>
    <w:p w:rsidR="00DA6A4D" w:rsidRDefault="00DA6A4D" w:rsidP="007556AF">
      <w:pPr>
        <w:autoSpaceDE w:val="0"/>
        <w:autoSpaceDN w:val="0"/>
        <w:adjustRightInd w:val="0"/>
        <w:spacing w:after="0" w:line="240" w:lineRule="auto"/>
        <w:ind w:firstLine="709"/>
        <w:jc w:val="both"/>
      </w:pPr>
    </w:p>
    <w:p w:rsidR="00DA6A4D" w:rsidRDefault="00DA6A4D" w:rsidP="007556AF">
      <w:pPr>
        <w:autoSpaceDE w:val="0"/>
        <w:autoSpaceDN w:val="0"/>
        <w:adjustRightInd w:val="0"/>
        <w:spacing w:after="0" w:line="240" w:lineRule="auto"/>
        <w:ind w:firstLine="709"/>
        <w:jc w:val="both"/>
      </w:pPr>
    </w:p>
    <w:p w:rsidR="00DA6A4D" w:rsidRDefault="00DA6A4D" w:rsidP="007556AF">
      <w:pPr>
        <w:autoSpaceDE w:val="0"/>
        <w:autoSpaceDN w:val="0"/>
        <w:adjustRightInd w:val="0"/>
        <w:spacing w:after="0" w:line="240" w:lineRule="auto"/>
        <w:ind w:firstLine="709"/>
        <w:jc w:val="both"/>
      </w:pPr>
    </w:p>
    <w:p w:rsidR="00DA6A4D" w:rsidRPr="005219EC" w:rsidRDefault="00DA6A4D"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a5"/>
            <w:color w:val="auto"/>
            <w:u w:val="none"/>
          </w:rPr>
          <w:t>статьей 35</w:t>
        </w:r>
      </w:hyperlink>
      <w:r w:rsidRPr="00871FCA">
        <w:t xml:space="preserve"> или </w:t>
      </w:r>
      <w:hyperlink r:id="rId23"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Default="00AD30DF"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Pr="005219EC" w:rsidRDefault="00725672"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 xml:space="preserve">соответсующей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2"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4"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0025C7"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0025C7" w:rsidP="004C24B3">
      <w:pPr>
        <w:autoSpaceDE w:val="0"/>
        <w:autoSpaceDN w:val="0"/>
        <w:adjustRightInd w:val="0"/>
        <w:spacing w:after="0" w:line="240" w:lineRule="auto"/>
        <w:ind w:firstLine="709"/>
        <w:jc w:val="both"/>
        <w:rPr>
          <w:b/>
        </w:rPr>
      </w:pPr>
      <w:hyperlink r:id="rId36"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725672" w:rsidRDefault="00725672"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7"/>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C7" w:rsidRDefault="000025C7" w:rsidP="007753F7">
      <w:pPr>
        <w:spacing w:after="0" w:line="240" w:lineRule="auto"/>
      </w:pPr>
      <w:r>
        <w:separator/>
      </w:r>
    </w:p>
  </w:endnote>
  <w:endnote w:type="continuationSeparator" w:id="0">
    <w:p w:rsidR="000025C7" w:rsidRDefault="000025C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C7" w:rsidRDefault="000025C7" w:rsidP="007753F7">
      <w:pPr>
        <w:spacing w:after="0" w:line="240" w:lineRule="auto"/>
      </w:pPr>
      <w:r>
        <w:separator/>
      </w:r>
    </w:p>
  </w:footnote>
  <w:footnote w:type="continuationSeparator" w:id="0">
    <w:p w:rsidR="000025C7" w:rsidRDefault="000025C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5B6DB2" w:rsidRDefault="005B6DB2">
        <w:pPr>
          <w:pStyle w:val="af2"/>
          <w:jc w:val="center"/>
        </w:pPr>
        <w:r>
          <w:fldChar w:fldCharType="begin"/>
        </w:r>
        <w:r>
          <w:instrText>PAGE   \* MERGEFORMAT</w:instrText>
        </w:r>
        <w:r>
          <w:fldChar w:fldCharType="separate"/>
        </w:r>
        <w:r w:rsidR="00C92280" w:rsidRPr="00C92280">
          <w:rPr>
            <w:noProof/>
            <w:lang w:val="ru-RU"/>
          </w:rPr>
          <w:t>31</w:t>
        </w:r>
        <w:r>
          <w:fldChar w:fldCharType="end"/>
        </w:r>
      </w:p>
    </w:sdtContent>
  </w:sdt>
  <w:p w:rsidR="005B6DB2" w:rsidRDefault="005B6DB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5C7"/>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2F71A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1A6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6DB2"/>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25672"/>
    <w:rsid w:val="007369DA"/>
    <w:rsid w:val="00740A0C"/>
    <w:rsid w:val="0075087E"/>
    <w:rsid w:val="00753381"/>
    <w:rsid w:val="007556AF"/>
    <w:rsid w:val="00764F0B"/>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7FE4"/>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96636"/>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0C2F"/>
    <w:rsid w:val="00B24865"/>
    <w:rsid w:val="00B249B5"/>
    <w:rsid w:val="00B30A7B"/>
    <w:rsid w:val="00B36EEC"/>
    <w:rsid w:val="00B43EBC"/>
    <w:rsid w:val="00B5315E"/>
    <w:rsid w:val="00B553AF"/>
    <w:rsid w:val="00B658C3"/>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35ADE"/>
    <w:rsid w:val="00C40975"/>
    <w:rsid w:val="00C41B15"/>
    <w:rsid w:val="00C4326A"/>
    <w:rsid w:val="00C510F1"/>
    <w:rsid w:val="00C55614"/>
    <w:rsid w:val="00C605F2"/>
    <w:rsid w:val="00C80AE0"/>
    <w:rsid w:val="00C846F8"/>
    <w:rsid w:val="00C91222"/>
    <w:rsid w:val="00C92280"/>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A6A4D"/>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day7">
    <w:name w:val="da y7"/>
    <w:rsid w:val="00DA6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day7">
    <w:name w:val="da y7"/>
    <w:rsid w:val="00DA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68">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novokiechki.ru/"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6E2CE68863DF0F6FC25338640h502M" TargetMode="External"/><Relationship Id="rId4" Type="http://schemas.microsoft.com/office/2007/relationships/stylesWithEffects" Target="stylesWithEffects.xml"/><Relationship Id="rId9" Type="http://schemas.openxmlformats.org/officeDocument/2006/relationships/hyperlink" Target="http://novokiechki.ru/"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6065-878A-4AF2-986A-5CB6FBC7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18408</Words>
  <Characters>104926</Characters>
  <Application>Microsoft Office Word</Application>
  <DocSecurity>0</DocSecurity>
  <Lines>874</Lines>
  <Paragraphs>246</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I. Общие положения</vt:lpstr>
      <vt:lpstr>    Предмет регулирования Административного регламента</vt:lpstr>
      <vt:lpstr>Круг заявителей</vt:lpstr>
      <vt:lpstr/>
      <vt:lpstr>Требования к порядку информирования о предоставлении муниципальной услуги</vt:lpstr>
      <vt:lpstr/>
      <vt:lpstr/>
      <vt:lpstr>II. Стандарт предоставления муниципальной услуги</vt:lpstr>
      <vt:lpstr>    Наименование муниципальной услуги</vt:lpstr>
      <vt:lpstr>    </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
      <vt:lpstr>Перечень нормативных правовых актов, регулирующих отношения, возникающие в связи</vt:lpstr>
      <vt:lpstr/>
      <vt:lpstr/>
      <vt:lpstr>Исчерпывающий перечень документов, необходимых в соответствии  с нормативными пр</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
      <vt:lpstr>Порядок, размер и основания взимания платы за предоставление услуг, которые явля</vt:lpstr>
      <vt:lpstr/>
      <vt:lpstr>Максимальный срок ожидания в очереди при подаче запроса о предоставлении муницип</vt:lpstr>
      <vt:lpstr/>
      <vt:lpstr>Срок и порядок регистрации запроса заявителя о предоставлении муниципальной услу</vt:lpstr>
      <vt:lpstr/>
      <vt:lpstr/>
      <vt:lpstr>Исчерпывающий перечень административных процедур</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vt:lpstr>
      <vt:lpstr/>
      <vt:lpstr/>
    </vt:vector>
  </TitlesOfParts>
  <Company>Управление делами Главы РБ</Company>
  <LinksUpToDate>false</LinksUpToDate>
  <CharactersWithSpaces>123088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user1</cp:lastModifiedBy>
  <cp:revision>24</cp:revision>
  <cp:lastPrinted>2021-07-14T05:27:00Z</cp:lastPrinted>
  <dcterms:created xsi:type="dcterms:W3CDTF">2021-07-02T07:19:00Z</dcterms:created>
  <dcterms:modified xsi:type="dcterms:W3CDTF">2021-08-02T04:55:00Z</dcterms:modified>
</cp:coreProperties>
</file>