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НОВОКИЕШКИНСКИЙ СЕЛЬСОВЕТ МУНИЦИПАЛЬНОГО  РАЙОНА КАРМАСКАЛИНСКИЙ РАЙОН РЕСПУБЛИКИ БАШКОРТОСТАН</w:t>
      </w: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2DC3" w:rsidRDefault="00512DC3" w:rsidP="00512DC3">
      <w:pPr>
        <w:pStyle w:val="ConsPlusTitle"/>
        <w:widowControl/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ab/>
        <w:t>18.05.2016 год                                                                                    № 10-1</w:t>
      </w: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12DC3" w:rsidRDefault="00512DC3" w:rsidP="00512D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2016 год» от 18 декабря 2015 года № 5-1</w:t>
      </w:r>
    </w:p>
    <w:p w:rsidR="00512DC3" w:rsidRDefault="00512DC3" w:rsidP="00512DC3">
      <w:pPr>
        <w:pStyle w:val="ConsPlusTitle"/>
        <w:widowControl/>
        <w:jc w:val="center"/>
      </w:pPr>
    </w:p>
    <w:p w:rsidR="00512DC3" w:rsidRDefault="00512DC3" w:rsidP="00512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12DC3" w:rsidRDefault="00512DC3" w:rsidP="00512D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2016г» от 18 декабря 2015 года № 5-1 следующие изменения и дополнения: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2016 год: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>4317,80000</w:t>
      </w:r>
      <w:r>
        <w:rPr>
          <w:iCs/>
          <w:sz w:val="28"/>
          <w:szCs w:val="28"/>
        </w:rPr>
        <w:t xml:space="preserve">тыс. рублей; 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>4334,60000</w:t>
      </w:r>
      <w:r>
        <w:rPr>
          <w:iCs/>
          <w:sz w:val="28"/>
          <w:szCs w:val="28"/>
        </w:rPr>
        <w:t>тыс. рублей;</w:t>
      </w:r>
    </w:p>
    <w:p w:rsidR="00512DC3" w:rsidRDefault="00512DC3" w:rsidP="00512DC3">
      <w:pPr>
        <w:pStyle w:val="a3"/>
      </w:pPr>
      <w:r>
        <w:rPr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16,80000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</w:t>
      </w:r>
    </w:p>
    <w:p w:rsidR="00512DC3" w:rsidRPr="00444D72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   в приложении 5:</w:t>
      </w:r>
      <w:r w:rsidRPr="00703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строки: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05"/>
        <w:gridCol w:w="1995"/>
        <w:gridCol w:w="1980"/>
        <w:gridCol w:w="1899"/>
      </w:tblGrid>
      <w:tr w:rsidR="00512DC3" w:rsidRPr="00E20607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207296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DC3" w:rsidRPr="00E20607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функции органами МС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0020400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Pr="0042531D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2134,30000</w:t>
            </w:r>
          </w:p>
        </w:tc>
      </w:tr>
    </w:tbl>
    <w:p w:rsidR="00512DC3" w:rsidRDefault="00512DC3" w:rsidP="00512D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05"/>
        <w:gridCol w:w="1995"/>
        <w:gridCol w:w="1980"/>
        <w:gridCol w:w="1899"/>
      </w:tblGrid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207296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Pr="001C485D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СП о мерах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соцподдержки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0E6021">
              <w:rPr>
                <w:b/>
                <w:bCs/>
                <w:sz w:val="28"/>
                <w:szCs w:val="28"/>
              </w:rPr>
              <w:t>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0E6021">
              <w:rPr>
                <w:b/>
                <w:bCs/>
                <w:sz w:val="28"/>
                <w:szCs w:val="28"/>
              </w:rPr>
              <w:t>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16,80000</w:t>
            </w:r>
          </w:p>
        </w:tc>
      </w:tr>
    </w:tbl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6:</w:t>
      </w:r>
    </w:p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9"/>
        <w:gridCol w:w="1910"/>
        <w:gridCol w:w="1909"/>
        <w:gridCol w:w="1909"/>
        <w:gridCol w:w="1924"/>
      </w:tblGrid>
      <w:tr w:rsidR="00512DC3" w:rsidTr="00D67B19">
        <w:tc>
          <w:tcPr>
            <w:tcW w:w="1919" w:type="dxa"/>
          </w:tcPr>
          <w:p w:rsidR="00512DC3" w:rsidRDefault="00512DC3" w:rsidP="00D67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512DC3" w:rsidRDefault="00512DC3" w:rsidP="00D67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512DC3" w:rsidRDefault="00512DC3" w:rsidP="00D67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512DC3" w:rsidRDefault="00512DC3" w:rsidP="00D67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512DC3" w:rsidRDefault="00512DC3" w:rsidP="00D67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DC3" w:rsidTr="00D67B19">
        <w:tc>
          <w:tcPr>
            <w:tcW w:w="1919" w:type="dxa"/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функции органами МС</w:t>
            </w:r>
          </w:p>
        </w:tc>
        <w:tc>
          <w:tcPr>
            <w:tcW w:w="1910" w:type="dxa"/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909" w:type="dxa"/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909" w:type="dxa"/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2134,30000</w:t>
            </w:r>
          </w:p>
        </w:tc>
      </w:tr>
    </w:tbl>
    <w:p w:rsidR="00512DC3" w:rsidRDefault="00512DC3" w:rsidP="00512D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05"/>
        <w:gridCol w:w="1995"/>
        <w:gridCol w:w="1980"/>
        <w:gridCol w:w="1899"/>
      </w:tblGrid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207296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Pr="001C485D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СП о мерах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соцподдержки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Pr="00207296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16,80000</w:t>
            </w:r>
          </w:p>
        </w:tc>
      </w:tr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</w:p>
          <w:p w:rsidR="00512DC3" w:rsidRPr="00A55147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2DC3" w:rsidRDefault="00512DC3" w:rsidP="00D67B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16,80000</w:t>
            </w:r>
          </w:p>
        </w:tc>
      </w:tr>
    </w:tbl>
    <w:p w:rsidR="00512DC3" w:rsidRDefault="00512DC3" w:rsidP="00512DC3">
      <w:r>
        <w:t xml:space="preserve">б) строку: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05"/>
        <w:gridCol w:w="1995"/>
        <w:gridCol w:w="1980"/>
        <w:gridCol w:w="1899"/>
      </w:tblGrid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656967" w:rsidRDefault="00512DC3" w:rsidP="00D67B19">
            <w:r>
              <w:rPr>
                <w:b/>
                <w:iCs/>
                <w:sz w:val="28"/>
                <w:szCs w:val="28"/>
              </w:rPr>
              <w:t>4317,80000</w:t>
            </w:r>
          </w:p>
        </w:tc>
      </w:tr>
    </w:tbl>
    <w:p w:rsidR="00512DC3" w:rsidRDefault="00512DC3" w:rsidP="00512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05"/>
        <w:gridCol w:w="1995"/>
        <w:gridCol w:w="1980"/>
        <w:gridCol w:w="1899"/>
      </w:tblGrid>
      <w:tr w:rsidR="00512DC3" w:rsidRPr="00207296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 w:rsidRPr="00A551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A55147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207296" w:rsidRDefault="00512DC3" w:rsidP="00D6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2DC3" w:rsidRPr="001C485D" w:rsidTr="00D67B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C485D" w:rsidRDefault="00512DC3" w:rsidP="00D6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11098A" w:rsidRDefault="00512DC3" w:rsidP="00D67B19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3" w:rsidRPr="00656967" w:rsidRDefault="00512DC3" w:rsidP="00D67B19">
            <w:r>
              <w:rPr>
                <w:b/>
                <w:iCs/>
                <w:sz w:val="28"/>
                <w:szCs w:val="28"/>
              </w:rPr>
              <w:t>4334,60000</w:t>
            </w:r>
          </w:p>
        </w:tc>
      </w:tr>
    </w:tbl>
    <w:p w:rsidR="00512DC3" w:rsidRPr="00617757" w:rsidRDefault="00512DC3" w:rsidP="00512DC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12DC3" w:rsidRDefault="00512DC3" w:rsidP="00512DC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12DC3" w:rsidRDefault="00512DC3" w:rsidP="00512DC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512DC3" w:rsidRPr="00617757" w:rsidRDefault="00512DC3" w:rsidP="00512DC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12DC3" w:rsidRDefault="00512DC3" w:rsidP="00512D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12DC3" w:rsidRDefault="00512DC3" w:rsidP="00512D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12DC3" w:rsidRDefault="00512DC3" w:rsidP="00512D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12DC3" w:rsidRDefault="00512DC3" w:rsidP="00512DC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12DC3" w:rsidRDefault="00512DC3" w:rsidP="00512DC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12DC3" w:rsidRDefault="00512DC3" w:rsidP="00512DC3">
      <w:pPr>
        <w:pStyle w:val="ConsPlusTitle"/>
        <w:widowControl/>
        <w:jc w:val="center"/>
      </w:pPr>
    </w:p>
    <w:p w:rsidR="00C923DF" w:rsidRDefault="00C923DF"/>
    <w:sectPr w:rsidR="00C923DF" w:rsidSect="0054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1E"/>
    <w:rsid w:val="00312779"/>
    <w:rsid w:val="00512DC3"/>
    <w:rsid w:val="00C22C1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2DC3"/>
    <w:pPr>
      <w:ind w:left="0" w:firstLine="0"/>
      <w:jc w:val="both"/>
    </w:pPr>
  </w:style>
  <w:style w:type="paragraph" w:customStyle="1" w:styleId="ConsPlusTitle">
    <w:name w:val="ConsPlusTitle"/>
    <w:rsid w:val="00512DC3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512DC3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C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2DC3"/>
    <w:pPr>
      <w:ind w:left="0" w:firstLine="0"/>
      <w:jc w:val="both"/>
    </w:pPr>
  </w:style>
  <w:style w:type="paragraph" w:customStyle="1" w:styleId="ConsPlusTitle">
    <w:name w:val="ConsPlusTitle"/>
    <w:rsid w:val="00512DC3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512DC3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2016-06-16T03:25:00Z</cp:lastPrinted>
  <dcterms:created xsi:type="dcterms:W3CDTF">2016-06-16T03:23:00Z</dcterms:created>
  <dcterms:modified xsi:type="dcterms:W3CDTF">2016-06-16T03:25:00Z</dcterms:modified>
</cp:coreProperties>
</file>